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E7EAF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453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453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4E7EAF" w:rsidRPr="00213E52" w:rsidRDefault="004E7EAF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(Редакция 2)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1C6B83">
        <w:rPr>
          <w:rFonts w:ascii="Times New Roman" w:hAnsi="Times New Roman" w:cs="Times New Roman"/>
          <w:sz w:val="20"/>
          <w:szCs w:val="20"/>
          <w:u w:val="single"/>
        </w:rPr>
        <w:t>Исполняющая</w:t>
      </w:r>
      <w:proofErr w:type="gramEnd"/>
      <w:r w:rsidR="001C6B83">
        <w:rPr>
          <w:rFonts w:ascii="Times New Roman" w:hAnsi="Times New Roman" w:cs="Times New Roman"/>
          <w:sz w:val="20"/>
          <w:szCs w:val="20"/>
          <w:u w:val="single"/>
        </w:rPr>
        <w:t xml:space="preserve"> обязанности начальника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B83" w:rsidRPr="001C6B83">
        <w:rPr>
          <w:rFonts w:ascii="Times New Roman" w:hAnsi="Times New Roman" w:cs="Times New Roman"/>
          <w:bCs/>
          <w:sz w:val="20"/>
          <w:szCs w:val="20"/>
        </w:rPr>
        <w:t>Гаршина Ольга Александровна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71</w:t>
      </w:r>
      <w:r w:rsidR="001C6B83">
        <w:rPr>
          <w:rFonts w:ascii="Times New Roman" w:hAnsi="Times New Roman" w:cs="Times New Roman"/>
          <w:sz w:val="20"/>
          <w:szCs w:val="20"/>
        </w:rPr>
        <w:t>4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="00B57FA8">
        <w:rPr>
          <w:rFonts w:ascii="Times New Roman" w:hAnsi="Times New Roman" w:cs="Times New Roman"/>
          <w:sz w:val="20"/>
          <w:szCs w:val="20"/>
        </w:rPr>
        <w:t xml:space="preserve">, тел.: +7 (3953) 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 xml:space="preserve">. </w:t>
      </w:r>
      <w:r w:rsidR="001C6B8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bCs/>
          <w:sz w:val="20"/>
          <w:szCs w:val="20"/>
        </w:rPr>
        <w:t>учебного оборудования для нужд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32.99.53.130,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срок до «</w:t>
      </w:r>
      <w:r w:rsidR="00453983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>» июня 2021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0406C">
        <w:rPr>
          <w:rFonts w:ascii="Times New Roman" w:hAnsi="Times New Roman" w:cs="Times New Roman"/>
          <w:sz w:val="20"/>
          <w:szCs w:val="20"/>
        </w:rPr>
        <w:t>учебно-лабораторного корпуса № 1</w:t>
      </w:r>
      <w:r w:rsidR="00B57FA8">
        <w:rPr>
          <w:rFonts w:ascii="Times New Roman" w:hAnsi="Times New Roman" w:cs="Times New Roman"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="0030406C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6946"/>
        <w:gridCol w:w="850"/>
      </w:tblGrid>
      <w:tr w:rsidR="00453983" w:rsidRPr="00453983" w:rsidTr="00453983">
        <w:trPr>
          <w:trHeight w:val="386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</w:t>
            </w:r>
          </w:p>
        </w:tc>
      </w:tr>
      <w:tr w:rsidR="00453983" w:rsidRPr="00453983" w:rsidTr="00453983">
        <w:trPr>
          <w:trHeight w:val="113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453983" w:rsidRPr="00453983" w:rsidTr="00453983">
        <w:trPr>
          <w:trHeight w:val="254"/>
        </w:trPr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pStyle w:val="a5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«Электр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ческие измерения в си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темах электроснабж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ния» (стендовое испо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нение, ручная версия)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53983" w:rsidRDefault="00453983" w:rsidP="004E7EA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eastAsia="Arial Unicode MS" w:hAnsi="Times New Roman" w:cs="Times New Roman"/>
                <w:sz w:val="20"/>
                <w:szCs w:val="20"/>
              </w:rPr>
              <w:t>Модель ЭИСЭС1М-С-Р</w:t>
            </w:r>
          </w:p>
          <w:p w:rsidR="004E7EAF" w:rsidRPr="00453983" w:rsidRDefault="004E7EAF" w:rsidP="004E7EA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одноименной дисциплине в высших, средних и начальных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учреждениях, а также на курсах повышения квалификации персонала и допускает работу на нем при температурах в ди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65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57"/>
              <w:gridCol w:w="2126"/>
            </w:tblGrid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от трехфазной сети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проводниками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 ± 38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защиты от поражения электрическим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ком, не ниже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850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453983" w:rsidRPr="00453983" w:rsidTr="00343287">
              <w:tc>
                <w:tcPr>
                  <w:tcW w:w="4457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человек, которое одновременно и активно может работать на комплекте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настольного контейнера, а также для свобо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ного перемещения по горизонтальным полозьям рамы и свободного извлеч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ния из нее без применения каких-либо инструментов. </w:t>
            </w:r>
          </w:p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  <w:tbl>
            <w:tblPr>
              <w:tblW w:w="6631" w:type="dxa"/>
              <w:tblInd w:w="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426"/>
              <w:gridCol w:w="1811"/>
              <w:gridCol w:w="3827"/>
              <w:gridCol w:w="567"/>
            </w:tblGrid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функционального блока (компоне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та)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-2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 питания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right="-3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источник питания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трехфазным и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фазным переменным током промышле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частоты функциональных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-9" w:right="-3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right="-3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686" w:type="dxa"/>
                    <w:tblInd w:w="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8"/>
                    <w:gridCol w:w="1418"/>
                  </w:tblGrid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трехфазной сети пер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менного тока с нул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вым и защитным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водниками: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(лине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ное),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трехфа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ное (линейное),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фазное,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220±22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ных розеток, шт., не менее: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однофазных;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трехфазных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ключения,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 – 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ключатель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95" w:right="-37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-9" w:right="-3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выполнен в виде отдельной переносной коробки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лью и металлическим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нанесена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исто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ника.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панели должны быть размещ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три однофазных автоматических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ключателя, устройство защитного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ключения, ключ – выключатель, кнопки включения и отключения, гнезда “ТК” для подключения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термоконтакта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гнезда “L1, L2, L3, N, PE” соответственно трех выходных фаз, нулевого провода и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заземления, а также три свет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диода для сигнализации о наличии на выходе источника фазных напряжений.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кожухе с тыльной стороны должны быть расположены приборные трехфа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ные вилка и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розетка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однофазная розе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с заземляющими контактами.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точник питания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однофазным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менным током промышленной частоты функциональных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552"/>
                    <w:gridCol w:w="1276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фазной сети переменного тока с нулевым и защитным проводниками: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розеток, не менее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отключения с током ср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батывания 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10 мА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Управление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током, не ниже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55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выполнен в виде отдельной коробки с металлической лицевой панелью 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источника.  На панели должен быть размещен двухп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дифференциальный выключ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тель. На кожухе с тыльной стороны должны быть расположены приборные однофазные вилка и пять розеток с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земляющими контактами.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моделирования однофазных и трехфа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потребителей активной мощности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8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694"/>
                    <w:gridCol w:w="1192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4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потребляемой мощности 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фазой, %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дохранителем с номинал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током, А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69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3,25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металлической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цевой панели, покрытой матовой белой порошковой краской, стойкой к износу, истиранию, воздействию влаги и спи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нанесена несмываемой краской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дохранители в держателях, гнезда для присоединения внешних устройств и защитного заземления и рукоятки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ключателей для изменения активного сопротивления фаз нагрузки.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моделирования однофазных и тре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фазных потребителей реактивной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70"/>
                    <w:gridCol w:w="850"/>
                  </w:tblGrid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3×40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фаз, не менее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потребляемой мощности одной фазой, 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нителем с номинальным током,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менее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и в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предохранители в держателях, гнезда для присоединения внешних устройств,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рукоятки переключателей для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индуктивности нагрузки.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тока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Трансформатор тока предназначен для преобразования тока синусоидальной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формы промышленной частоты в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порциональный ему гальванически из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лированный от сети нормированный ток.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0" w:type="dxa"/>
                    <w:tblInd w:w="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70"/>
                    <w:gridCol w:w="850"/>
                  </w:tblGrid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рабочее напр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жение первичной обмотки,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первичной обмотки,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вторичной обмотки, 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нагрузка,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97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коробки с металлической лицевой панелью и металлическим кожухом. На лицевой панели, покрытой матовой 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спиртосодержащих жидкостей, должна быть нанесена несмываемой краской электрическая мнемосхема соединений и в соответствии с ней размещены гнезда для присоединения внешних устройств.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напряжения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-10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напряжения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преобразования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напряжения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нусоидальной формы промышленной частоты в пропорциональное ему гал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ванически изолированное от сети но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мированное напряжение.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-10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9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38"/>
                    <w:gridCol w:w="754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Класс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пе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вичной обмотки,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вт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ричной обмотки,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мощность,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Предельная мощность,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Погрешность по напряжению при предельной мощности, %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глубина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145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3238" w:type="dxa"/>
                      </w:tcPr>
                      <w:p w:rsidR="00453983" w:rsidRPr="00453983" w:rsidRDefault="00453983" w:rsidP="00343287">
                        <w:pPr>
                          <w:spacing w:after="0" w:line="240" w:lineRule="auto"/>
                          <w:ind w:left="15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трансформатор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крытой матовой белой порошковой краской, стойкой к износу, истиранию, воздействию влаги и спиртосодержащих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размещены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устройств.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метров однофазной сети 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параметров однофазной сети предназначен для измерения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параметров однофазной сети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тока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ТРИЧЕСКОЙ СЕТИ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96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35"/>
                    <w:gridCol w:w="1134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циента мощности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мощности (активной, реактивной, по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ной), Вт, вар,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43287" w:rsidRPr="00453983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0…2500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сети переменного тока с защитным проводником: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110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металлическим кожухом. На лицевой панели должен быть размещен измер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электрических параметров щит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вой, сетевой выключатель, держатель с предохранителем и гнезда для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с внешними устройствами. На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хе с тыльной стороны должна быть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положена вилка для присоединения шнура питания.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активной электрической энергии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электрической энергии предназначен для учета 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в однофазных сетях переменного тока промышленной част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8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03"/>
                    <w:gridCol w:w="1418"/>
                  </w:tblGrid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Электронный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измерительной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электрическим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вертикальное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40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лицевой панели должны быть размещены счетчик и гнезда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внешних устройств.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активной и реактивной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для сети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учета активной и реактивной электрической энергии в трехфазных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тырехпроводных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СТИКИ</w:t>
                  </w:r>
                </w:p>
                <w:tbl>
                  <w:tblPr>
                    <w:tblW w:w="36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1"/>
                    <w:gridCol w:w="1418"/>
                  </w:tblGrid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Электронный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фазное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измерительной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электрическим током, не ниже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вертикальное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26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лицевой панели должны быть размещены собственно счетчик и гнезда для присоединения внешних устройств.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активной и реактивной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для сети  100/√3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100/√3 В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учета активной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в трехфазных тре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х-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тырехпроводных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1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476"/>
                    <w:gridCol w:w="1337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Электронный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фазное 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337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100/√3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измерительной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током, не ниже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вертикальное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453983" w:rsidRPr="00453983" w:rsidTr="00453983">
                    <w:trPr>
                      <w:trHeight w:val="203"/>
                      <w:jc w:val="center"/>
                    </w:trPr>
                    <w:tc>
                      <w:tcPr>
                        <w:tcW w:w="2476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робки с металлической лицевой панелью и металлическим кожухом. На лицевой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панели должны быть размещены собс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венно счетчик и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устройств.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нальный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измерительный прибор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Многофункциональный электроизмер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3432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 прибор предназначен для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рения параметров 4-х проводной тре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фазной сети переменного тока с симме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ричной и несимметричной нагрузкой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ТРИЧЕСКОЙ СЕТИ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межд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междуфазного напряжения.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тока.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фазного тока.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фазы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активная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фазы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реактивная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Полная мощность фазы нагрузки.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Суммарная полная мощность.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Коэффициент мощности в каждой фазе.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Общий коэффициент мощности.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6"/>
                    </w:numPr>
                    <w:tabs>
                      <w:tab w:val="left" w:pos="5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Частота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7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73"/>
                    <w:gridCol w:w="992"/>
                  </w:tblGrid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 измерения фазного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288,7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 измерения линейного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фазного тока,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0…1,0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45…55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циента мощности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фазной мощности (активной, реа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тивной, полной), Вт, вар, В∙А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219,4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трехфа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(суммарной) мощности (активной, реактивной, по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ной), Вт, вар, В∙А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658,2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ной сети переменного тока с защитным проводником: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43287" w:rsidRDefault="00343287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453983" w:rsidRPr="00453983" w:rsidTr="00343287">
                    <w:tc>
                      <w:tcPr>
                        <w:tcW w:w="277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металлическим кожухом. На лицевой панели должны быть размещены щит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цифровой многофункциональный электроизмерительный прибор, сетевой выключатель, держатель с предохран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телем и гнезда для соединения с вне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ними устройствами. На кожухе с тыл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должна быть расположена вилка для присоединения шнура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контейнером для проводников и трехуровневой 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контейнером для проводников и трехуровневой рамой предназначен для размещения электр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технической и электронной лаборато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аппаратуры.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383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33"/>
                    <w:gridCol w:w="997"/>
                  </w:tblGrid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 располагаемой на столе аппаратуры,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rPr>
                      <w:jc w:val="center"/>
                    </w:trPr>
                    <w:tc>
                      <w:tcPr>
                        <w:tcW w:w="28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 стола: стальная труба квадратного сечения не более 25х25 мм, покрытая белой порошковой краской. Материал столешницы и двухсекцио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контейнера: ДСП. Контейнер до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запираться на ключ. Комплект стола должен включать в себя два ключа. Ножки стола должны регулироваться по высоте. Помещенные в раму функци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нальные блоки должны иметь технич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скую возможность свободно выниматься из рамы лабораторного стола, не меняя при этом положение соседних блоков, и переставляться в любое другое свобо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ное место рамы без применения каких-либо инструментов. Общий вид стола должен соответствовать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19150" cy="1419225"/>
                        <wp:effectExtent l="0" t="0" r="0" b="0"/>
                        <wp:docPr id="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выполнению баз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вых экспериментов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«Электрические измерения в сист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мах электросна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жения»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ке. Должно содержать описания пошаг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вого выполнения как минимум следу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экспериментов согласно перечню лабораторных работ, проведение кот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рых должен обеспечивать комплект: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142439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369" w:hanging="284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ров и энергии в однофазной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 Измерение напряжения, тока, 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ной, реактивной и полной мощностей, 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эффициента мощности и частоты в одн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фазной электрической сети напряжением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измерителем.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1.2. Измерение активной электрической энергии в однофазной сети переменного тока напряжением 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369" w:hanging="284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ров и энергии в трехфазной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2.1. Измерение напряжений, токов, 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тивных, реактивных и полных мощн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стей, коэффициентов мощности и част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ты в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трической сети напряжением 3×230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многофункционал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 электроизмерительным прибором.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 Измерение активной и реактивной электрической энергии в трехфазной сети переменного тока напряжением 3×230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2.2.1.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непосредственном 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2.2.2.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подключения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2.2.3.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 Измерение активной и реактивной электрической энергии в трехфазной сети переменного тока напряжением 3×100/√3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2.3.1.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 счетчика к трехфазной тре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х-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мощью трех трансформаторов напряж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и трех 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2.3.2.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напряжения и двух трансформаторов тока.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2.3.3.     Измерение активной и реакти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трансформаторов напряжения и двух трансформаторов тока.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водств по эксплу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тации компонентов аппаратной части комплекта 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ке. Должен содержать инструкции по эксплуатации функциональных комп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нентов комплекта.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Методическое обеспечение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плекта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8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343287">
              <w:trPr>
                <w:trHeight w:val="20"/>
              </w:trPr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E7EAF">
                  <w:pPr>
                    <w:spacing w:after="0" w:line="240" w:lineRule="auto"/>
                    <w:ind w:left="3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пособие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ind w:left="85" w:right="85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Неисключительная лицензия на 2 (два) рабочих места. Должно представлять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 программный пакет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наглядном графическом виде изменений выходных параметров фундаментальных зависим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стей, законов, теорем, принципов,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цессов и т.п. при произвольном измен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нии пользователем значений их входных параметров в реальном времени по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85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раторе. Передача мощности в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lastRenderedPageBreak/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риодических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Сопротивление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нагрузка R-L-C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дального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 R-L-C в цепи синусо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следовательного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дискретном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пряжения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с нулевым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треугольник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85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дическими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гося магнитного поля статора 3-х фа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ной машины переменного тока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  <w:p w:rsidR="00453983" w:rsidRPr="00453983" w:rsidRDefault="00453983" w:rsidP="00453983">
            <w:pPr>
              <w:pStyle w:val="14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rPr>
          <w:trHeight w:val="464"/>
        </w:trPr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учебно-лабораторного оборуд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вания «</w:t>
            </w:r>
            <w:proofErr w:type="spellStart"/>
            <w:proofErr w:type="gram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Распределитель-ные</w:t>
            </w:r>
            <w:proofErr w:type="spellEnd"/>
            <w:proofErr w:type="gram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сети систем электр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снабжения»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Default="00453983" w:rsidP="003432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РССЭС1М-С-Р</w:t>
            </w:r>
          </w:p>
          <w:p w:rsidR="004E7EAF" w:rsidRPr="00453983" w:rsidRDefault="004E7EAF" w:rsidP="003432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дисциплин в высших, средних и начальных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учреждениях, а также на курсах повышения квалификации персонала и допускает работу на нем при температурах в ди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72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66"/>
              <w:gridCol w:w="2050"/>
            </w:tblGrid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проводниками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="003432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343287" w:rsidRDefault="00343287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453983" w:rsidRPr="00453983" w:rsidTr="00343287">
              <w:tc>
                <w:tcPr>
                  <w:tcW w:w="5166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одновременно и активно может работать на комплекте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                                                            </w:t>
                  </w:r>
                </w:p>
              </w:tc>
              <w:tc>
                <w:tcPr>
                  <w:tcW w:w="2050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ind w:firstLine="3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поставки должен соответствовать табл. 1.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стола, а также для свободного перемещения по горизонтальным полозьям рамы и свободного извлечения из нее без применения каких-либо инструментов. 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Таблица 1</w:t>
            </w:r>
          </w:p>
          <w:tbl>
            <w:tblPr>
              <w:tblW w:w="74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5"/>
              <w:gridCol w:w="1777"/>
              <w:gridCol w:w="4536"/>
              <w:gridCol w:w="708"/>
            </w:tblGrid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функциональн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 блока  (ко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понента)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точник питания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мышленной частоты функциональных блоков лабораторных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22"/>
                    <w:gridCol w:w="962"/>
                  </w:tblGrid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34" w:hanging="13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щитным проводниками: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right="-8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тический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чатель, 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устро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откл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чения с током срабат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вания 10 мА 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Управление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2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однофазный автомат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ческий выключатель, устройство защитного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ключения, сигнальный светодиод и гнезда для присоединения проводников. На кожухе с тыл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должны быть расположены прибо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ные однофазные вилка и не менее четырех роз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 с заземляющими контактами.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потребителей 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67"/>
                    <w:gridCol w:w="1017"/>
                  </w:tblGrid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6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держателях, гнезда для присоед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и рукоятка переключателя для изменения активного сопротивления фаз нагрузки. 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 предназначена для моделирования линий электропередачи 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и постоянного тока.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57"/>
                    <w:gridCol w:w="1427"/>
                  </w:tblGrid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противление фазы, Гн/Ом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285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гнезда для присоед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переключатели для изменения параметров модели.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источников реактивной мо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3"/>
                    <w:gridCol w:w="851"/>
                  </w:tblGrid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3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 и защитного заземления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автотрансформатор предназначен для преобразования однофазного нерегулируем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напряжения промышленной частоты 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фазное регулируемое напряжение той же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менее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регрузки по току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товой белой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мнемосхема соединений автотрансформатора и в соответствии с ней размещены регулировочная рукоятка,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 для присоединения внешних устройств и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заземления, предохранитель в держат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ле, вольтметр для контроля выходного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лирования однофазных потребителей реактивной мощности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внешних устройств и защитного заземления, рукоятка переключателя для изменения инду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тивности фазы нагрузки. В качестве рабочего элемента нагрузки должен быть применен дро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Коммутатор 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мерителя мощн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стей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Коммутатор измерителя мощностей предназначен для обеспечения возможности присоединения измерителя мощностей к различным точкам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делируемой электрической цепи без переборки последней.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37"/>
                    <w:gridCol w:w="547"/>
                  </w:tblGrid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коммутируемых каналов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3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Вес,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54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коммутатор должен быть выпо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коробки с металлической лицевой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нелью и металлическим кожухом. На лицевой панели, покрытой матовой белой порошковой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коммут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тора и в соответствии с ней размещены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тельные гнезда и переключатель выбора каналов.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 предназначен для коммутации электрических 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товой белой порошковой краской, стойкой к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мнемосхема соединений выключателя и в соответствии с ней размещены собственно выключатель и</w:t>
                  </w:r>
                  <w:r w:rsidRPr="00453983">
                    <w:rPr>
                      <w:rFonts w:ascii="Times New Roman" w:hAnsi="Times New Roman" w:cs="Times New Roman"/>
                      <w:color w:val="FF00FF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гнезда для присоединения внешних устройств.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трансформатор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54"/>
                    <w:gridCol w:w="830"/>
                  </w:tblGrid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тора,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формации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кретное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трансформатора, А,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5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3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действию влаги и спиртосодержащих жидкостей,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должна быть нанесена несмываемой краской электрическая мнемосхема соединений и в соо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гнезда, соединенные с выводами обмоток трансформатора, гнездо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 и переключатель коэффиц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ента трансформации.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измерения активного сопротивления элементов электрич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ской цепи, токов и напряжений в этой цепи.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прово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более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выполнен в виде отдельной переносной коробки с металлической лицевой панелью и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ским кожухом. На лицевой панели должны быть закреплены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сетевой выключатель и держатели с предохранителями. На верхней бок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грани кожуха должна быть расположена ви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для присоединения шнура питания.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раметров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фазной сети 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параметров однофазной сети предн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значен для измерения электрических параметров однофазной сети переменного тока частотой 45-55 Гц.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ЭЛЕКТР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ЧЕСКОЙ СЕТИ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453983" w:rsidRPr="00453983" w:rsidRDefault="00453983" w:rsidP="00142439">
                  <w:pPr>
                    <w:numPr>
                      <w:ilvl w:val="1"/>
                      <w:numId w:val="25"/>
                    </w:numPr>
                    <w:tabs>
                      <w:tab w:val="num" w:pos="426"/>
                    </w:tabs>
                    <w:spacing w:after="0" w:line="240" w:lineRule="auto"/>
                    <w:ind w:left="42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12"/>
                    <w:gridCol w:w="972"/>
                  </w:tblGrid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коэффициента мощности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мощности (а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тивной, реактивной, полной), Вт, вар,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0…2500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точности, не ниже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водником: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31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7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выполнен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кожухом. На лицевой панели должен быть размещен изм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ритель электрических параметров щитовой, сет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выключатель, держатель с предохранителем и гнезда для соединения с внешними устройствами. На кожухе с тыльной стороны должна быть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положена вилка для присоединения шнура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 для прово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ников и дву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уровневой рамой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Лабораторный стол предназначен для размещения электротехнической и электронной лабораторной аппаратуры, принадлежностей, эксплуатационной документации и методических материалов.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2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595"/>
                    <w:gridCol w:w="689"/>
                  </w:tblGrid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апп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68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8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 стола: стальная труба квадра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сечения не более 25х25 мм, покрытая белой порошковой краской. Материал столешницы и контейнера: ДСП. Контейнер должен запираться на ключ, в комплект должно входить не менее двух ключей. Ножки стола должны регулироват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ся по высоте. Верхняя и нижняя рамы стола должны обеспечивать возможность установки в них всех функциональных блоков лабораторного комплекта. Общий вид стола должен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716915" cy="1016635"/>
                        <wp:effectExtent l="19050" t="0" r="6985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1016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по выполнению б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зовых экспер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ментов «Распр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делительные сети систем электр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снабжения»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держит описание как минимум следующих эксп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риментов согласно перечню работ, проведение которых должен обеспечивать комплект: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1. Режимы работы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электроприемников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Снятие статической характеристики мощности по напряжению резистивной нагрузки.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Снятие статической характеристики мощности по напряжению реактора.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Снятие статической характеристики мощности по напряжению батареи конденсаторов.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 Режимы распределительной электрической сети.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однофазного трансформатора.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фазы линии электропередачи.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Натурное моделирование установившегося 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жима работы фазы разомкнутой распределител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сети.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4. Регулирование напряжения разомкнутой ра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пределительной электрической сети путем поп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речной компенсации реактивной мощности с 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мощью конденсаторной батареи. 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водств по эк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плуатации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понентов апп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ратной части комплекта 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носителе. Должен содержать инс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рукции по работе с функциональными блоками комплекта.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E7EAF">
                  <w:pPr>
                    <w:spacing w:after="0" w:line="240" w:lineRule="auto"/>
                    <w:ind w:left="21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Интерактивное учебно-наглядное пособие 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4" w:right="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чительная лицензия на 2 (два) рабочих места. Должно представлять собой программный пакет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глядном графическом виде изменений выходных параметров фундаментальных зависимостей,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конов, теорем, принципов, процессов и т.п. при произвольном изменении пользователем знач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их входных параметров в реальном времени по темам: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генераторе. Передача мощности в нагрузку.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lastRenderedPageBreak/>
                    <w:t>Электрические цепи переменного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R-L-C в цепи синусоидального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кретном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нитного поля статора 3-х фазной машины п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ременного тока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c>
                <w:tcPr>
                  <w:tcW w:w="435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777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Методическое обеспечение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плекта</w:t>
                  </w:r>
                </w:p>
              </w:tc>
              <w:tc>
                <w:tcPr>
                  <w:tcW w:w="4536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учебно-лабораторного оборуд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вания «Качество эле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трической энергии в си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темах электроснабжения – однофазная сеть»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Default="00453983" w:rsidP="002956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Модель 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ЭСЭСО1М-С-К</w:t>
            </w:r>
          </w:p>
          <w:p w:rsidR="004E7EAF" w:rsidRPr="00453983" w:rsidRDefault="004E7EAF" w:rsidP="002956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НАЗНАЧЕНИЕ</w:t>
            </w:r>
          </w:p>
          <w:p w:rsidR="00453983" w:rsidRPr="00453983" w:rsidRDefault="00453983" w:rsidP="00453983">
            <w:pPr>
              <w:spacing w:after="0" w:line="240" w:lineRule="auto"/>
              <w:ind w:right="-2"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учебных дисциплин в высших, средних и начальных профессиональных образовательных учреждениях, а также на ку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сах повышения квалификации персонала и допускает работу на нем при те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пературах в диапазоне от +10 до +35</w:t>
            </w:r>
            <w:r w:rsidRPr="00453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  <w:tbl>
            <w:tblPr>
              <w:tblW w:w="73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81"/>
              <w:gridCol w:w="1134"/>
            </w:tblGrid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проводниками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453983" w:rsidRPr="00453983" w:rsidTr="00453983">
              <w:tc>
                <w:tcPr>
                  <w:tcW w:w="6181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одновременно и активно может раб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тать на комплекте, не менее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453983" w:rsidRPr="00453983" w:rsidRDefault="00453983" w:rsidP="00453983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поставки должен соответствовать табл. 1.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стола, а также для свободного перемещения по горизонтальным полозьям рамы и свободного извлечения из нее без применения каких-либо инструментов. </w:t>
            </w:r>
          </w:p>
          <w:p w:rsidR="00453983" w:rsidRPr="00453983" w:rsidRDefault="00453983" w:rsidP="00453983">
            <w:pPr>
              <w:pStyle w:val="1"/>
              <w:spacing w:before="0" w:beforeAutospacing="0" w:after="0" w:afterAutospacing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W w:w="7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7"/>
              <w:gridCol w:w="1619"/>
              <w:gridCol w:w="4820"/>
              <w:gridCol w:w="709"/>
            </w:tblGrid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функционал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ного блока (компонента)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промы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ленной частоты функциональных блоков лаборато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комплексов.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95"/>
                    <w:gridCol w:w="1274"/>
                  </w:tblGrid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щитным проводниками: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щитного отключения с током ср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батывания 10 мА 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29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однофазный автоматический выключатель, устройство защитного отключения, сигнальный св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тодиод и гнезда для присоединения проводников. На кожухе с тыльной стороны должны быть располож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приборные однофазные вилка и не менее четырех розеток с заземляющими контактами.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однофазных потребителей активной мощности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77"/>
                    <w:gridCol w:w="992"/>
                  </w:tblGrid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577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нагрузка должна быть выполнена в виде отдельной переносной коробки с металлической лицевой панелью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держателях, гнезда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 и рукоятка переключателя для изменения активного сопротивления фаз нагрузки.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Модель линии электропередачи предназначена для моделирования линий электропередачи переменного и постоянного тока.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743" w:type="dxa"/>
                    <w:jc w:val="center"/>
                    <w:tblInd w:w="8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65"/>
                    <w:gridCol w:w="1878"/>
                  </w:tblGrid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295611">
                        <w:pPr>
                          <w:spacing w:after="0" w:line="240" w:lineRule="auto"/>
                          <w:ind w:left="384" w:hanging="384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Число фаз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противление фазы, Гн/Ом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453983" w:rsidRPr="00453983" w:rsidTr="00295611">
                    <w:trPr>
                      <w:jc w:val="center"/>
                    </w:trPr>
                    <w:tc>
                      <w:tcPr>
                        <w:tcW w:w="286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гнезда для присоединения внешних устройств и переключатели для изменения параметров модели.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пенсации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компенсации предназначено для моделирования устройства пр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дольной емкостной компенсации линии электроп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редачи.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Емкость фазы, мкФ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0, 47, 94, 141, 188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фазы, 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изоляции ф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выполнено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устройства и в соответствии с ней размещены гнезда для присоединения внешних устройств, а также рукоятка переключателя для 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менения емкости устройства и гнездо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земления.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моделиров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однофазных источников реактивной мощности.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нагрузка должна быть выполнена в виде отдельной переносной коробки с металлической лицевой панелью и металлическим кожухом.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держателе, гнезда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матор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 w:hanging="321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Регулируемый автотрансформатор предназначен для преобразования однофазного нерегулируемого напряжения промышленной частоты в однофазное регулируемое напряжение той же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720" w:hanging="681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менее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пер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грузки по току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101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ind w:right="10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порошковой краской, стойкой к износу, ист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ранию, воздействию влаги и спиртосодержащих жидкостей, должна быть нанесена несмываемой краской электрическая мнемосхема соединений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автотрансформатора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регулировочная рукоятка, гнезда для присо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внешних устройств и защитного заземл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предохранитель в держателе, вольтметр для контроля выходного напряжения.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tabs>
                      <w:tab w:val="left" w:pos="633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предназначен для преобразования энергии однофазного переменного тока промышле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частоты в энергию постоянного тока.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860"/>
                    <w:gridCol w:w="709"/>
                  </w:tblGrid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входное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выпрямленный ток, 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входного напряж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ind w:left="52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выпрямитель должен быть выполнен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и в соответствии с ней 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мещены гнезда для присоединения внешних ус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моделир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потребителей реактивной мощн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сти с регулированием вручную.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металлической лицевой панелью и металлическим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цевой панели, покрытой матовой белой порошковой краской, стойкой к износу, истиранию, воздействию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влаги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нагрузки и в соответствии с ней размещены предохранитель в держателе, гнезда для присоединения внешних устройств и защитного 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земления, рукоятка переключателя для изменения индуктивности фазы нагрузки.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ский одноп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ключатель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 пре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назначен для коммутации электрических цепей.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860"/>
                    <w:gridCol w:w="709"/>
                  </w:tblGrid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860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выполнен в виде отдельной переносной коробки с металлич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кожухом. На лицевой панели, покрытой матовой белой порошк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истиранию, воздейс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выключателя и в соответс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собственно выключатель и</w:t>
                  </w:r>
                  <w:r w:rsidRPr="00453983">
                    <w:rPr>
                      <w:rFonts w:ascii="Times New Roman" w:hAnsi="Times New Roman" w:cs="Times New Roman"/>
                      <w:color w:val="FF00FF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гнезда для присоединения внешних устройств.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трансформатор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трансформ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тора,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формации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трансформатора, А,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металлической лиц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вой панелью и металлическим кожухом. На лицевой панели, покрытой матовой белой порошковой кра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кой, стойкой к износу, истиранию, воздействию вл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 и спиртосодержащих жидкостей, должна быть нанесена несмываемой краской электрическая мн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щены гнезда, соединенные с выводами обмоток трансформатора, гнездо защитного заземления и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реключатель коэффициента трансформации.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пенсирующее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Фильтрокомпенсирующее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 предназначено для фильтрации 3-й, 5-й и 7-й гармоник тока, генер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руемых нелинейной нагрузкой.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фильтров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конденсаторов, В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Ар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23,9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Резонансные частоты,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150/250/350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первой гармоники напряжения,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выполнено в виде коробки с металлической лицевой панелью и металлическим кожухом. На лицевой панели, покр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 матовой белой порошковой краской, стойкой к износу, истиранию, воздействию влаги и спиртос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несм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ваемой краской электрическая мнемосхема 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устройства и в соответствии с ней размещены гнезда, соединенные с выводами устройства, и гне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защитного заземления. 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мультиметра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измерения 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тивного сопротивления элементов электрической цепи, токов и напряжений в этой цепи.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ременного тока с защитным проводн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более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менее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95611" w:rsidRDefault="00295611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коробки с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жухом. На лицевой панели должны быть закреплены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сетевой выключатель и держатели с предохранителями. На верхней боковой грани кож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 должна быть расположена вилка для присоедин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шнура питания.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Измеритель показателей качества эле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троэнергии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показателей качества электроэнергии (далее – измеритель) предназначен для регистрации показателей качества электрической энергии в одн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фазных и трехфазных сетях переменного тока част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2956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 50 Гц.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-102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718"/>
                    <w:gridCol w:w="851"/>
                  </w:tblGrid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ременного тока с защитным проводн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95611" w:rsidRPr="00453983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453983" w:rsidRPr="00453983" w:rsidRDefault="00453983" w:rsidP="0045398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фазное/междуфазное н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пряжение измеряемой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230,9/400 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или 57,7/100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значение измеряемого 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ка, 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или 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 измеряемой сети,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42,5…57,5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453983" w:rsidRPr="00453983" w:rsidTr="00453983">
                    <w:trPr>
                      <w:trHeight w:val="305"/>
                    </w:trPr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измеритель должен быть выполнен в виде коробки с лицевой панелью и кожухом. На 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 должны быть размещены собственно измеритель параметров и показателей качества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троэнергии, тумблер «СЕТЬ» с предохранителем в держателе, розетки и гнезда для присоединения внешних устройств. На тыльной стороне кожуха должна быть расположена вилка для подключения к сети питания 220 В.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Лабораторный стол с двухсе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ционным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тейнером и двухуровневой рамой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Лабораторный стол предназначен для размещения электротехнической и электронной лабораторной аппаратуры, принадлежностей, эксплуатационной документации и методических материалов.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spacing w:after="0" w:line="240" w:lineRule="auto"/>
                    <w:ind w:left="36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5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35"/>
                    <w:gridCol w:w="1134"/>
                  </w:tblGrid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длина (по фронту)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910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защиты от поражения электр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апп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ратуры,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5611" w:rsidRDefault="00295611" w:rsidP="0029561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53983" w:rsidRPr="00453983" w:rsidRDefault="00453983" w:rsidP="0029561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453983" w:rsidRPr="00453983" w:rsidTr="00453983">
                    <w:tc>
                      <w:tcPr>
                        <w:tcW w:w="3435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3983" w:rsidRPr="00453983" w:rsidRDefault="00453983" w:rsidP="0045398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39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</w:tbl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каркаса: стальная труба квадратного сеч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не более 25х25 мм, покрытая белой порошковой краской. Материал столешницы и контейнера: ДСП. Контейнер должен запираться на ключ. В комплект должно входить не менее двух ключей.   Ножки ст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 должны регулироваться по высоте. Верхняя и нижняя рамы должны обеспечивать возможность установки в них всех функциональных блоков лаб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раторного комплекта. Функциональный блок должен устанавливаться в раму стола без применения каких-либо инструментов путем заведения его спереди 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жду направляющими, подъема блока с заведением его передней панели в паз верхней направляющей и последующего опускания блока в паз нижней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правляющей. Общий вид стола должен соответств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вать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89940" cy="1141095"/>
                        <wp:effectExtent l="19050" t="0" r="0" b="0"/>
                        <wp:docPr id="3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940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выполнению базовых эксп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риментов 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«Качество эле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гии в системах электроснабж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ния»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Должно содержать описание пошагового выполнения как минимум следующих экспериментов согласно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речню лабораторных работ, проведение которых должен обеспечивать комплект: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53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Контроль качества электрической энергии в системах электроснабжения.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   Измерение показателей качества электрической энергии в однофазной сети напряжением 220 В.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1.2.   Просмотр и оформление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результатов измер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показателей качества электрической энергии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помощью персонального компьютера.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4539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Управление  качеством электрической энергии в системах электроснабжения.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2.1.   Встречное регулирование напряжения.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2.2.   Регулирование напряжения путем поперечной компенсации реактивной мощности с помощью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денсаторной батареи.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2.3.   Регулирование напряжения путем продольной компенсации реактивной мощности с помощью ко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денсаторной батареи.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2.4.   Снижение уровня генерации высших гармоник тока путем  замены однополупериодного выпрям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теля на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двухполупериодный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схеме питания н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грузки постоянным током. 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2.5.   Компенсация высших гармоник тока с пом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щью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фильтрокомпенсирующего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устройства. 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Сборник рук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водств по эк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плуатации ко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понентов апп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ратной части комплекта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На бумажном носителе, на русском языке. Должен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содержать технические инструкции по работе с функциональными блоками комплекта.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Программное и методическое обеспечение комплекта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компакт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диске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 русском языке.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характеристиками не ниже: размер экрана не менее 15,6 ", разрешение экрана не менее 1366х768, опер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тивная память не менее 2 Гб, объем жесткого диска не менее 128 Гб, кол-во USB портов не менее 2,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Wi-Fi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proofErr w:type="spellEnd"/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наличие.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интерфе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 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USB/RS-232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53983" w:rsidRPr="00453983" w:rsidTr="00453983">
              <w:trPr>
                <w:trHeight w:val="20"/>
              </w:trPr>
              <w:tc>
                <w:tcPr>
                  <w:tcW w:w="417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1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собие</w:t>
                  </w:r>
                </w:p>
                <w:p w:rsidR="00453983" w:rsidRPr="00453983" w:rsidRDefault="00453983" w:rsidP="0045398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Неисключ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тельная лицензия на 2 (два) рабочих места. Должно представлять собой программный пакет для работы в ОС 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наглядном графическом виде изменений выходных параметров фундаме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тальных зависимостей, законов, теорем, принципов, процессов и т.п. при произвольном изменении пол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зователем значений их входных параметров в реал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 времени по темам: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3983" w:rsidRPr="00453983" w:rsidRDefault="00453983" w:rsidP="00453983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453983" w:rsidRPr="00453983" w:rsidRDefault="00453983" w:rsidP="00142439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генераторе. 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редача мощности в нагрузку.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периодических синусоидальных сигналов (U, I, фаза, угол сдвига)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нагрузка R-L-C в цепи синусоидального тока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последовател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резонансного контура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дискре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 спектре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пеции)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Разложение периодической функции (п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лы) на гармоники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напряжения в ряд Фурье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с нулевым проводом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 в звезду без нулевого провода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ind w:left="34" w:right="127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периодическими</w:t>
                  </w:r>
                  <w:proofErr w:type="gramEnd"/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53983" w:rsidRPr="00453983" w:rsidRDefault="00453983" w:rsidP="00142439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453983" w:rsidRPr="00453983" w:rsidRDefault="00453983" w:rsidP="004539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магни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ного поля статора 3-х фазной машины переменн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4539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го тока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453983" w:rsidRPr="00453983" w:rsidRDefault="00453983" w:rsidP="004539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98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453983" w:rsidRPr="00453983" w:rsidTr="00453983">
        <w:tc>
          <w:tcPr>
            <w:tcW w:w="675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намический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стенд </w:t>
            </w:r>
          </w:p>
        </w:tc>
        <w:tc>
          <w:tcPr>
            <w:tcW w:w="6946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светодинамический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предназначен для получения знаний о практическом применении электроснабжения умного дома учащимися пр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фильных образовательных учреждений.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Стенд должен представлять собой интерактивную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светодинамическую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панель с раздельной световой индикацией. На лицевой части стенда должна быть представлена комплексная информация по следующим разделам: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солнечной энергии;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энергии ветра, проточной воды;</w:t>
            </w:r>
          </w:p>
          <w:p w:rsidR="00453983" w:rsidRPr="00453983" w:rsidRDefault="00453983" w:rsidP="00142439">
            <w:pPr>
              <w:pStyle w:val="a5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применение генератора с двигателем внутреннего сгорания.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 конструкцию учебного оборудования должны быть интегрированы высок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чувствительные сенсоры для управления работой оборудования при помощи интерактивного воздействия приемо-передающих устройств. Стенд должен быть снабжен функцией "Виртуальный учитель", которая должна повеств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вать об основных особенностях и принципах электроснабжения умного дома.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Технические характеристики: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Габариты, не более: 1750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1450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60 мм.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Масса, не более: 11 кг.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Электропитание: 220 В.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Основа: поликарбонат 3 мм.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Профиль: П-образный обкладочный алюминиевый профиль толщиной не менее 3 мм, шириной не менее 40 мм, окрашенный методом порошковой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краски.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Способ резки: лазерный.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Полноцветная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печать не менее 1440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с антибликовым покрытием и п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ременным размером капли (минимальный размер - 6 </w:t>
            </w:r>
            <w:proofErr w:type="spellStart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пиколитров</w:t>
            </w:r>
            <w:proofErr w:type="spellEnd"/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Комплект поставки: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каркасная конструкция;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комплект подвесов;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комплекс светодиодной индикации элементов;</w:t>
            </w:r>
          </w:p>
          <w:p w:rsidR="00453983" w:rsidRPr="00453983" w:rsidRDefault="00453983" w:rsidP="00453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- функции "обучение" и "контроль";</w:t>
            </w:r>
          </w:p>
          <w:p w:rsidR="00453983" w:rsidRPr="00453983" w:rsidRDefault="00453983" w:rsidP="00395E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паспорт.</w:t>
            </w:r>
          </w:p>
        </w:tc>
        <w:tc>
          <w:tcPr>
            <w:tcW w:w="850" w:type="dxa"/>
            <w:shd w:val="clear" w:color="auto" w:fill="auto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30406C" w:rsidRDefault="0030406C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5AF6" w:rsidRPr="002D5AF6" w:rsidRDefault="002D5AF6" w:rsidP="002D5AF6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6.2. </w:t>
      </w:r>
      <w:r w:rsidRPr="002D5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Требование к комплектации товаров: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комплектация товара должна быть в полном соответствии с техническим заданием;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6.3. Требования к объему гарантии качества: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6.3.2. Товары должны быть сертифицированы на соответствие.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щих бесплатно, при условии соблюдения Заказчиком правил эксплуатации оборудования;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ляет письменные заявления (Претензии) и направляет их в адрес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Претензии должны быть направлены Заказчиком незамедлительно после выявления дефектов;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других случаях Заказчик отправляет товар на ремонт в адрес Поставщика, за счет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этом случае, Поставщик обязан устранить дефекты товара или поставить новый товар в течение 20 (двадцати) к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лендарных дней с момента получения бракованного товара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в течение гарантийного срока осуществляет техническую поддержку в вопросах настройки и эксплуат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142439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74770">
        <w:rPr>
          <w:rFonts w:ascii="Times New Roman" w:hAnsi="Times New Roman"/>
          <w:b/>
          <w:color w:val="FF0000"/>
          <w:sz w:val="20"/>
        </w:rPr>
        <w:t>1 101 647,66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EC572B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974770">
        <w:rPr>
          <w:rFonts w:ascii="Times New Roman" w:hAnsi="Times New Roman"/>
          <w:sz w:val="20"/>
        </w:rPr>
        <w:t xml:space="preserve">один миллион сто одна </w:t>
      </w:r>
      <w:r w:rsidR="00EC572B">
        <w:rPr>
          <w:rFonts w:ascii="Times New Roman" w:hAnsi="Times New Roman"/>
          <w:sz w:val="20"/>
        </w:rPr>
        <w:t>тысяч</w:t>
      </w:r>
      <w:r w:rsidR="00974770">
        <w:rPr>
          <w:rFonts w:ascii="Times New Roman" w:hAnsi="Times New Roman"/>
          <w:sz w:val="20"/>
        </w:rPr>
        <w:t>а</w:t>
      </w:r>
      <w:r w:rsidR="00EC572B">
        <w:rPr>
          <w:rFonts w:ascii="Times New Roman" w:hAnsi="Times New Roman"/>
          <w:sz w:val="20"/>
        </w:rPr>
        <w:t xml:space="preserve"> </w:t>
      </w:r>
      <w:r w:rsidR="00974770">
        <w:rPr>
          <w:rFonts w:ascii="Times New Roman" w:hAnsi="Times New Roman"/>
          <w:sz w:val="20"/>
        </w:rPr>
        <w:t>шестьсот сорок семь</w:t>
      </w:r>
      <w:r w:rsidR="00AF21B0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</w:t>
      </w:r>
      <w:r w:rsidR="00EC572B">
        <w:rPr>
          <w:rFonts w:ascii="Times New Roman" w:hAnsi="Times New Roman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974770">
        <w:rPr>
          <w:rFonts w:ascii="Times New Roman" w:hAnsi="Times New Roman"/>
          <w:sz w:val="20"/>
        </w:rPr>
        <w:t>66</w:t>
      </w:r>
      <w:r w:rsidR="003209DC" w:rsidRPr="003209DC">
        <w:rPr>
          <w:rFonts w:ascii="Times New Roman" w:hAnsi="Times New Roman"/>
          <w:sz w:val="20"/>
        </w:rPr>
        <w:t xml:space="preserve"> копе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616"/>
        <w:gridCol w:w="1843"/>
        <w:gridCol w:w="2835"/>
      </w:tblGrid>
      <w:tr w:rsidR="00B41BEA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лабораторного оборудования «Электрич</w:t>
            </w:r>
            <w:r w:rsidRPr="00427132">
              <w:rPr>
                <w:rFonts w:ascii="Times New Roman" w:hAnsi="Times New Roman"/>
                <w:color w:val="000000"/>
              </w:rPr>
              <w:t>е</w:t>
            </w:r>
            <w:r w:rsidRPr="00427132">
              <w:rPr>
                <w:rFonts w:ascii="Times New Roman" w:hAnsi="Times New Roman"/>
                <w:color w:val="000000"/>
              </w:rPr>
              <w:t>ские измерения в системах электроснабжения» (сте</w:t>
            </w:r>
            <w:r w:rsidRPr="00427132">
              <w:rPr>
                <w:rFonts w:ascii="Times New Roman" w:hAnsi="Times New Roman"/>
                <w:color w:val="000000"/>
              </w:rPr>
              <w:t>н</w:t>
            </w:r>
            <w:r w:rsidRPr="00427132">
              <w:rPr>
                <w:rFonts w:ascii="Times New Roman" w:hAnsi="Times New Roman"/>
                <w:color w:val="000000"/>
              </w:rPr>
              <w:t xml:space="preserve">довое исполнение, ручная версия)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A5660D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349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349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учебно-лабораторного оборудования «Ра</w:t>
            </w:r>
            <w:r w:rsidRPr="00427132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пределитель</w:t>
            </w:r>
            <w:r w:rsidRPr="00427132">
              <w:rPr>
                <w:rFonts w:ascii="Times New Roman" w:hAnsi="Times New Roman"/>
                <w:color w:val="000000"/>
              </w:rPr>
              <w:t>ные сети систем электроснабжения»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235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235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815,00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Комплект учебно-лабораторного оборудования «К</w:t>
            </w:r>
            <w:r w:rsidRPr="00427132">
              <w:rPr>
                <w:rFonts w:ascii="Times New Roman" w:hAnsi="Times New Roman"/>
                <w:color w:val="000000"/>
              </w:rPr>
              <w:t>а</w:t>
            </w:r>
            <w:r w:rsidRPr="00427132">
              <w:rPr>
                <w:rFonts w:ascii="Times New Roman" w:hAnsi="Times New Roman"/>
                <w:color w:val="000000"/>
              </w:rPr>
              <w:t>чество электрической энергии в системах электр</w:t>
            </w:r>
            <w:r w:rsidRPr="00427132">
              <w:rPr>
                <w:rFonts w:ascii="Times New Roman" w:hAnsi="Times New Roman"/>
                <w:color w:val="000000"/>
              </w:rPr>
              <w:t>о</w:t>
            </w:r>
            <w:r w:rsidRPr="00427132">
              <w:rPr>
                <w:rFonts w:ascii="Times New Roman" w:hAnsi="Times New Roman"/>
                <w:color w:val="000000"/>
              </w:rPr>
              <w:t>снабжения – однофазная сеть»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405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428,33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405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428,33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 xml:space="preserve">Интерактивный </w:t>
            </w:r>
            <w:proofErr w:type="spellStart"/>
            <w:r w:rsidRPr="00427132">
              <w:rPr>
                <w:rFonts w:ascii="Times New Roman" w:hAnsi="Times New Roman"/>
                <w:color w:val="000000"/>
              </w:rPr>
              <w:t>светодинамический</w:t>
            </w:r>
            <w:proofErr w:type="spellEnd"/>
            <w:r w:rsidRPr="00427132">
              <w:rPr>
                <w:rFonts w:ascii="Times New Roman" w:hAnsi="Times New Roman"/>
                <w:color w:val="000000"/>
              </w:rPr>
              <w:t xml:space="preserve"> стенд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589,33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974770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13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7132">
              <w:rPr>
                <w:rFonts w:ascii="Times New Roman" w:hAnsi="Times New Roman"/>
                <w:color w:val="000000"/>
              </w:rPr>
              <w:t>589,33</w:t>
            </w:r>
          </w:p>
        </w:tc>
      </w:tr>
      <w:tr w:rsidR="00B41BEA" w:rsidRPr="00A33BCC" w:rsidTr="00974770">
        <w:trPr>
          <w:trHeight w:val="280"/>
        </w:trPr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974770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1 101 647,66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142439">
      <w:pPr>
        <w:numPr>
          <w:ilvl w:val="0"/>
          <w:numId w:val="10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142439">
      <w:pPr>
        <w:numPr>
          <w:ilvl w:val="0"/>
          <w:numId w:val="1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lastRenderedPageBreak/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14243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требования: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142439">
      <w:pPr>
        <w:pStyle w:val="a5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Pr="00342FEE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C572B" w:rsidRPr="00EC572B" w:rsidRDefault="00EC572B" w:rsidP="00142439">
      <w:pPr>
        <w:pStyle w:val="a5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72B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EC572B">
        <w:rPr>
          <w:rFonts w:ascii="Times New Roman" w:hAnsi="Times New Roman" w:cs="Times New Roman"/>
          <w:sz w:val="20"/>
          <w:szCs w:val="20"/>
        </w:rPr>
        <w:t>н</w:t>
      </w:r>
      <w:r w:rsidRPr="00EC572B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EC572B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EC572B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11" w:history="1">
        <w:r w:rsidRPr="00EC572B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342FEE" w:rsidRPr="00342FEE" w:rsidRDefault="00342FEE" w:rsidP="00142439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23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30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23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26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74770">
        <w:rPr>
          <w:rFonts w:ascii="Times New Roman" w:hAnsi="Times New Roman" w:cs="Times New Roman"/>
          <w:b/>
          <w:sz w:val="20"/>
          <w:szCs w:val="20"/>
        </w:rPr>
        <w:t>31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1424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казчиком, подписанный им договор, либо не предоставил надлежащее обеспечение исполнения договора, такой участник 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37782C" w:rsidRPr="00CF164F" w:rsidRDefault="0037782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ЭиЭ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Ю.Н. Булатов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Гаршина</w:t>
      </w: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4C2E29" w:rsidRDefault="004C2E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4E7EAF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782C" w:rsidRPr="0037782C" w:rsidRDefault="00D4653A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74770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7477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7782C" w:rsidRPr="0037782C">
        <w:rPr>
          <w:rFonts w:ascii="Times New Roman" w:hAnsi="Times New Roman" w:cs="Times New Roman"/>
          <w:bCs/>
          <w:sz w:val="20"/>
          <w:szCs w:val="20"/>
        </w:rPr>
        <w:t>учебное оборудование для нужд КУИЦ "Энергетика" БрГУ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82C" w:rsidRPr="0037782C" w:rsidRDefault="0037782C" w:rsidP="0014243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782C">
        <w:rPr>
          <w:rFonts w:ascii="Times New Roman" w:hAnsi="Times New Roman" w:cs="Times New Roman"/>
          <w:sz w:val="20"/>
          <w:szCs w:val="20"/>
        </w:rPr>
        <w:t>Наименование, характеристики товара: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"/>
        <w:gridCol w:w="2071"/>
        <w:gridCol w:w="5589"/>
        <w:gridCol w:w="1132"/>
        <w:gridCol w:w="834"/>
      </w:tblGrid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77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торговая марка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782C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комплектация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97477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4770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37782C" w:rsidRDefault="00974770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52" w:rsidRPr="0037782C" w:rsidRDefault="00D76152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3778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14243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D76152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76152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37782C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D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142439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9"/>
        <w:gridCol w:w="5154"/>
        <w:gridCol w:w="1153"/>
        <w:gridCol w:w="809"/>
        <w:gridCol w:w="1154"/>
        <w:gridCol w:w="1605"/>
      </w:tblGrid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GoBack"/>
            <w:bookmarkEnd w:id="2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6152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52" w:rsidRPr="00B46B9F" w:rsidRDefault="00D76152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FB" w:rsidRDefault="00FD13FB" w:rsidP="003D59F3">
      <w:pPr>
        <w:spacing w:after="0" w:line="240" w:lineRule="auto"/>
      </w:pPr>
      <w:r>
        <w:separator/>
      </w:r>
    </w:p>
  </w:endnote>
  <w:endnote w:type="continuationSeparator" w:id="0">
    <w:p w:rsidR="00FD13FB" w:rsidRDefault="00FD13F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4E7EAF" w:rsidRDefault="004E7EAF">
        <w:pPr>
          <w:pStyle w:val="a3"/>
          <w:jc w:val="right"/>
        </w:pPr>
        <w:fldSimple w:instr=" PAGE   \* MERGEFORMAT ">
          <w:r w:rsidR="001D3D82">
            <w:rPr>
              <w:noProof/>
            </w:rPr>
            <w:t>41</w:t>
          </w:r>
        </w:fldSimple>
      </w:p>
    </w:sdtContent>
  </w:sdt>
  <w:p w:rsidR="004E7EAF" w:rsidRDefault="004E7E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FB" w:rsidRDefault="00FD13FB" w:rsidP="003D59F3">
      <w:pPr>
        <w:spacing w:after="0" w:line="240" w:lineRule="auto"/>
      </w:pPr>
      <w:r>
        <w:separator/>
      </w:r>
    </w:p>
  </w:footnote>
  <w:footnote w:type="continuationSeparator" w:id="0">
    <w:p w:rsidR="00FD13FB" w:rsidRDefault="00FD13F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96B08D2"/>
    <w:multiLevelType w:val="hybridMultilevel"/>
    <w:tmpl w:val="4AB8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7BE"/>
    <w:multiLevelType w:val="multilevel"/>
    <w:tmpl w:val="FD7C3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D04030E"/>
    <w:multiLevelType w:val="hybridMultilevel"/>
    <w:tmpl w:val="E308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90A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9442D"/>
    <w:multiLevelType w:val="hybridMultilevel"/>
    <w:tmpl w:val="30520A68"/>
    <w:lvl w:ilvl="0" w:tplc="605E72A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7"/>
  </w:num>
  <w:num w:numId="5">
    <w:abstractNumId w:val="5"/>
  </w:num>
  <w:num w:numId="6">
    <w:abstractNumId w:val="21"/>
  </w:num>
  <w:num w:numId="7">
    <w:abstractNumId w:val="25"/>
  </w:num>
  <w:num w:numId="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22"/>
  </w:num>
  <w:num w:numId="1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4"/>
  </w:num>
  <w:num w:numId="27">
    <w:abstractNumId w:val="20"/>
  </w:num>
  <w:num w:numId="28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439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3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D82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4E4F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41B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611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AF6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06C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287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7782C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13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983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29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488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E7EAF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1C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70"/>
    <w:rsid w:val="009747DD"/>
    <w:rsid w:val="009750EE"/>
    <w:rsid w:val="00975B79"/>
    <w:rsid w:val="00975BF6"/>
    <w:rsid w:val="00975C29"/>
    <w:rsid w:val="009766D6"/>
    <w:rsid w:val="00976AF5"/>
    <w:rsid w:val="00977D72"/>
    <w:rsid w:val="00980210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5C21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AE2"/>
    <w:rsid w:val="00D74BA9"/>
    <w:rsid w:val="00D754CC"/>
    <w:rsid w:val="00D75AA1"/>
    <w:rsid w:val="00D75D3A"/>
    <w:rsid w:val="00D76152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72B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6F9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3FB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aliases w:val="1,h1,Header 1,H1,Document Header1,Заголов,Загол 2"/>
    <w:basedOn w:val="a"/>
    <w:link w:val="10"/>
    <w:qFormat/>
    <w:rsid w:val="0045398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398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83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uiPriority w:val="99"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Заголовок 1 Знак"/>
    <w:aliases w:val="1 Знак,h1 Знак,Header 1 Знак,H1 Знак,Document Header1 Знак,Заголов Знак,Загол 2 Знак"/>
    <w:basedOn w:val="a0"/>
    <w:link w:val="1"/>
    <w:rsid w:val="00453983"/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98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983"/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af1">
    <w:name w:val="Знак Знак Знак Знак"/>
    <w:basedOn w:val="a"/>
    <w:uiPriority w:val="99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53983"/>
    <w:rPr>
      <w:rFonts w:cs="Times New Roman"/>
    </w:rPr>
  </w:style>
  <w:style w:type="paragraph" w:customStyle="1" w:styleId="6">
    <w:name w:val="Обычный6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caption"/>
    <w:basedOn w:val="a"/>
    <w:next w:val="a"/>
    <w:uiPriority w:val="35"/>
    <w:qFormat/>
    <w:rsid w:val="00453983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бычный4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aliases w:val="Таблица"/>
    <w:uiPriority w:val="1"/>
    <w:qFormat/>
    <w:rsid w:val="004539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бычный3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5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98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hname">
    <w:name w:val="thname"/>
    <w:basedOn w:val="a0"/>
    <w:rsid w:val="00453983"/>
  </w:style>
  <w:style w:type="character" w:customStyle="1" w:styleId="thvalue">
    <w:name w:val="thvalue"/>
    <w:basedOn w:val="a0"/>
    <w:rsid w:val="00453983"/>
  </w:style>
  <w:style w:type="paragraph" w:styleId="af4">
    <w:name w:val="Body Text Indent"/>
    <w:basedOn w:val="a"/>
    <w:link w:val="af5"/>
    <w:rsid w:val="004539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53983"/>
  </w:style>
  <w:style w:type="paragraph" w:customStyle="1" w:styleId="Default">
    <w:name w:val="Default"/>
    <w:rsid w:val="004539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Параграф"/>
    <w:basedOn w:val="a"/>
    <w:qFormat/>
    <w:rsid w:val="00453983"/>
    <w:pPr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">
    <w:name w:val="label"/>
    <w:basedOn w:val="a0"/>
    <w:rsid w:val="00453983"/>
  </w:style>
  <w:style w:type="paragraph" w:customStyle="1" w:styleId="name">
    <w:name w:val="name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453983"/>
  </w:style>
  <w:style w:type="paragraph" w:customStyle="1" w:styleId="ConsNonformat">
    <w:name w:val="ConsNonformat"/>
    <w:rsid w:val="00453983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customStyle="1" w:styleId="link1">
    <w:name w:val="link1"/>
    <w:rsid w:val="00453983"/>
  </w:style>
  <w:style w:type="paragraph" w:customStyle="1" w:styleId="21">
    <w:name w:val="Обычный2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0">
    <w:name w:val="Заголовок 0"/>
    <w:next w:val="a"/>
    <w:autoRedefine/>
    <w:qFormat/>
    <w:rsid w:val="00453983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15">
    <w:name w:val="Абзац списка1"/>
    <w:basedOn w:val="a"/>
    <w:rsid w:val="0045398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edapstab03">
    <w:name w:val="medaps_tab_03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539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45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453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4539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53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45398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53983"/>
  </w:style>
  <w:style w:type="paragraph" w:customStyle="1" w:styleId="afa">
    <w:name w:val="Стиль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6">
    <w:name w:val="Знак1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7">
    <w:name w:val="Знак Знак Знак Знак1"/>
    <w:basedOn w:val="a"/>
    <w:rsid w:val="004539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453983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4539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45398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Знак1 Знак Знак Знак Знак Знак Знак Знак Знак Знак"/>
    <w:basedOn w:val="a"/>
    <w:semiHidden/>
    <w:rsid w:val="00453983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."/>
    <w:uiPriority w:val="99"/>
    <w:rsid w:val="0045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453983"/>
    <w:rPr>
      <w:color w:val="808080"/>
    </w:rPr>
  </w:style>
  <w:style w:type="character" w:customStyle="1" w:styleId="bold1">
    <w:name w:val="bold1"/>
    <w:basedOn w:val="a0"/>
    <w:rsid w:val="00453983"/>
    <w:rPr>
      <w:b/>
      <w:bCs/>
    </w:rPr>
  </w:style>
  <w:style w:type="paragraph" w:customStyle="1" w:styleId="formattext">
    <w:name w:val="formattext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453983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customStyle="1" w:styleId="37">
    <w:name w:val="Стиль3 Знак Знак"/>
    <w:basedOn w:val="a3"/>
    <w:link w:val="38"/>
    <w:rsid w:val="00453983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Стиль3 Знак Знак Знак"/>
    <w:link w:val="37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Num">
    <w:name w:val="ListNum"/>
    <w:basedOn w:val="a"/>
    <w:rsid w:val="00453983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4539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453983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Tabletext">
    <w:name w:val="Table_text"/>
    <w:basedOn w:val="a"/>
    <w:rsid w:val="004539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453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styleId="111111">
    <w:name w:val="Outline List 2"/>
    <w:basedOn w:val="a2"/>
    <w:rsid w:val="00453983"/>
    <w:pPr>
      <w:numPr>
        <w:numId w:val="24"/>
      </w:numPr>
    </w:pPr>
  </w:style>
  <w:style w:type="character" w:customStyle="1" w:styleId="layout">
    <w:name w:val="layout"/>
    <w:basedOn w:val="a0"/>
    <w:rsid w:val="00453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23.rts-tender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44</Pages>
  <Words>16031</Words>
  <Characters>91380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2019-04-03T03:40:00Z</cp:lastPrinted>
  <dcterms:created xsi:type="dcterms:W3CDTF">2014-10-02T06:08:00Z</dcterms:created>
  <dcterms:modified xsi:type="dcterms:W3CDTF">2021-03-24T04:01:00Z</dcterms:modified>
</cp:coreProperties>
</file>